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Data Classification and Retention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sets how [Company name] (the "Company") classifies the data it holds, how long it keeps each kind, and how it disposes of data it no longer needs. It supports the SOC 2 common criteria CC6.1 and CC6.5.</w:t>
      </w:r>
    </w:p>
    <w:p>
      <w:pPr>
        <w:spacing w:after="120" w:before="0" w:line="276"/>
      </w:pPr>
      <w:r>
        <w:rPr>
          <w:rFonts w:ascii="Arial" w:cs="Arial" w:eastAsia="Arial" w:hAnsi="Arial"/>
          <w:color w:val="1F2328"/>
          <w:sz w:val="20"/>
          <w:szCs w:val="20"/>
        </w:rPr>
        <w:t xml:space="preserve">This policy applies to all company and customer data.</w:t>
      </w:r>
    </w:p>
    <w:p>
      <w:pPr>
        <w:pStyle w:val="Heading2"/>
        <w:keepNext/>
        <w:spacing w:after="120" w:before="280"/>
      </w:pPr>
      <w:r>
        <w:rPr>
          <w:rFonts w:ascii="Arial" w:cs="Arial" w:eastAsia="Arial" w:hAnsi="Arial"/>
          <w:b/>
          <w:bCs/>
          <w:color w:val="1F2328"/>
          <w:sz w:val="26"/>
          <w:szCs w:val="26"/>
        </w:rPr>
        <w:t xml:space="preserve">2. Classification levels</w:t>
      </w:r>
    </w:p>
    <w:p>
      <w:pPr>
        <w:spacing w:after="120" w:before="0" w:line="276"/>
      </w:pPr>
      <w:r>
        <w:rPr>
          <w:rFonts w:ascii="Arial" w:cs="Arial" w:eastAsia="Arial" w:hAnsi="Arial"/>
          <w:color w:val="1F2328"/>
          <w:sz w:val="20"/>
          <w:szCs w:val="20"/>
        </w:rPr>
        <w:t xml:space="preserve">Every data set belongs to exactly one of the four levels below. When a data set mixes levels, it takes the highest level it contains. Unlabeled information is treated as Internal until it is classified.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3557"/>
        <w:gridCol w:w="4493"/>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Level</w:t>
            </w:r>
          </w:p>
        </w:tc>
        <w:tc>
          <w:tcPr>
            <w:tcW w:type="dxa" w:w="355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Definition</w:t>
            </w:r>
          </w:p>
        </w:tc>
        <w:tc>
          <w:tcPr>
            <w:tcW w:type="dxa" w:w="4493"/>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Examples</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Restricted</w:t>
            </w:r>
          </w:p>
        </w:tc>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Information whose disclosure would cause severe harm to customers or the Company, create legal or contractual liability, or enable an attacker to compromise systems.</w:t>
            </w:r>
          </w:p>
        </w:tc>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 data stored in the Company's product; personal data of customers' users; authentication secrets, API keys, encryption keys and production credentials; payment card or bank details; employee government ID numbers and health information.</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Confidential</w:t>
            </w:r>
          </w:p>
        </w:tc>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Information intended for a defined group, whose disclosure would harm the Company, its customers or partners.</w:t>
            </w:r>
          </w:p>
        </w:tc>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Source code; system architecture and network diagrams for the production cloud environment; security assessments, penetration test reports and vulnerability details; customer contracts and pricing; employee compensation and performance records; unreleased financials.</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Internal</w:t>
            </w:r>
          </w:p>
        </w:tc>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Information for use by personnel in the ordinary course of business, whose disclosure would cause limited harm.</w:t>
            </w:r>
          </w:p>
        </w:tc>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Internal policies and procedures; team wikis and meeting notes; project plans and roadmaps without customer names; internal announcements; the org chart.</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Public</w:t>
            </w:r>
          </w:p>
        </w:tc>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Information approved for release to anyone, whose disclosure causes no harm.</w:t>
            </w:r>
          </w:p>
        </w:tc>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Marketing website content; published documentation for the Company's product; published blog posts and press releases; public job postings; the published privacy notice.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Handling rules</w:t>
      </w:r>
    </w:p>
    <w:p>
      <w:pPr>
        <w:spacing w:after="120" w:before="0" w:line="276"/>
      </w:pPr>
      <w:r>
        <w:rPr>
          <w:rFonts w:ascii="Arial" w:cs="Arial" w:eastAsia="Arial" w:hAnsi="Arial"/>
          <w:color w:val="1F2328"/>
          <w:sz w:val="20"/>
          <w:szCs w:val="20"/>
        </w:rPr>
        <w:t xml:space="preserve">Personnel handle information according to the rules for its level. A rule for a lower level applies to every higher level unless a stricter rule replaces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98"/>
        <w:gridCol w:w="2246"/>
        <w:gridCol w:w="2246"/>
        <w:gridCol w:w="1872"/>
        <w:gridCol w:w="1498"/>
      </w:tblGrid>
      <w:tr>
        <w:trPr>
          <w:cantSplit/>
          <w:tblHeader/>
        </w:trPr>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Control</w:t>
            </w:r>
          </w:p>
        </w:tc>
        <w:tc>
          <w:tcPr>
            <w:tcW w:type="dxa" w:w="224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Restricted</w:t>
            </w:r>
          </w:p>
        </w:tc>
        <w:tc>
          <w:tcPr>
            <w:tcW w:type="dxa" w:w="224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Confidential</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Internal</w:t>
            </w:r>
          </w:p>
        </w:tc>
        <w:tc>
          <w:tcPr>
            <w:tcW w:type="dxa" w:w="149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Public</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Access</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Named individuals with a documented business need, approved by the data owner and reviewed quarterly.</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Role-based access for teams with a business need, reviewed at least every 6 months.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Anyone.</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Storage</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Only in approved production data stores or an approved secrets manager. Never on laptops, removable media, personal accounts or in source code.</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Company-managed systems and Company accounts only. Not on personal devices or accounts.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Company-managed systems and Company accounts.</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 restriction.</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Sharing</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Only with authorized recipients under a signed contract or data processing agreement, through an approved encrypted channel. Never by email attachment or chat.</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Inside the Company on a need-to-know basis. Externally only under a signed non-disclosure agreement or contract.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Inside the Company. Externally only with manager approval.</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Freely, once approved for release.</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Retention</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Kept only as long as the customer contract, law or documented business need requires, then deleted.</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Kept for the period set in the retention schedule or contract.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Kept while useful to the business.</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Kept while current.</w:t>
            </w:r>
          </w:p>
        </w:tc>
      </w:tr>
      <w:tr>
        <w:trPr>
          <w:cantSplit/>
        </w:trPr>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Disposal</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Deleted using provider deletion tools or cryptographic erasure; media wiped to National Institute of Standards and Technology (NIST) Special Publication 800-88 or physically destroyed; deletion recorded.</w:t>
            </w:r>
          </w:p>
        </w:tc>
        <w:tc>
          <w:tcPr>
            <w:tcW w:type="dxa" w:w="224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Secure deletion; devices wiped before reuse or disposal; paper shredded.</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Standard deletion; paper shredded.</w:t>
            </w:r>
          </w:p>
        </w:tc>
        <w:tc>
          <w:tcPr>
            <w:tcW w:type="dxa" w:w="149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No restriction.</w:t>
            </w:r>
          </w:p>
        </w:tc>
      </w:tr>
    </w:tbl>
    <w:p>
      <w:pPr>
        <w:spacing w:after="120" w:before="0" w:line="276"/>
      </w:pPr>
      <w:r>
        <w:rPr>
          <w:rFonts w:ascii="Arial" w:cs="Arial" w:eastAsia="Arial" w:hAnsi="Arial"/>
          <w:color w:val="1F2328"/>
          <w:sz w:val="20"/>
          <w:szCs w:val="20"/>
        </w:rPr>
        <w:t xml:space="preserve"/>
      </w:r>
    </w:p>
    <w:p>
      <w:pPr>
        <w:pBdr>
          <w:left w:val="single" w:color="8C959F" w:sz="12" w:space="8"/>
        </w:pBdr>
        <w:spacing w:after="160" w:before="60" w:line="276"/>
        <w:ind w:left="200"/>
      </w:pPr>
      <w:r>
        <w:rPr>
          <w:rFonts w:ascii="Arial" w:cs="Arial" w:eastAsia="Arial" w:hAnsi="Arial"/>
          <w:color w:val="1F2328"/>
          <w:sz w:val="19"/>
          <w:szCs w:val="19"/>
        </w:rPr>
        <w:t xml:space="preserve">Restricted data is never used in development, testing or demo environments unless it has been irreversibly anonymized, and never pasted into public AI tools or unapproved third-party services.</w:t>
      </w:r>
    </w:p>
    <w:p>
      <w:pPr>
        <w:spacing w:after="120" w:before="0" w:line="276"/>
      </w:pPr>
      <w:r>
        <w:rPr>
          <w:rFonts w:ascii="Arial" w:cs="Arial" w:eastAsia="Arial" w:hAnsi="Arial"/>
          <w:color w:val="1F2328"/>
          <w:sz w:val="20"/>
          <w:szCs w:val="20"/>
        </w:rPr>
        <w:t xml:space="preserve">Encryption requirements for each level are set in the Encryption Policy.</w:t>
      </w:r>
    </w:p>
    <w:p>
      <w:pPr>
        <w:pStyle w:val="Heading2"/>
        <w:keepNext/>
        <w:spacing w:after="120" w:before="280"/>
      </w:pPr>
      <w:r>
        <w:rPr>
          <w:rFonts w:ascii="Arial" w:cs="Arial" w:eastAsia="Arial" w:hAnsi="Arial"/>
          <w:b/>
          <w:bCs/>
          <w:color w:val="1F2328"/>
          <w:sz w:val="26"/>
          <w:szCs w:val="26"/>
        </w:rPr>
        <w:t xml:space="preserve">4. Retention schedule</w:t>
      </w:r>
    </w:p>
    <w:p>
      <w:pPr>
        <w:spacing w:after="120" w:before="0" w:line="276"/>
      </w:pPr>
      <w:r>
        <w:rPr>
          <w:rFonts w:ascii="Arial" w:cs="Arial" w:eastAsia="Arial" w:hAnsi="Arial"/>
          <w:color w:val="1F2328"/>
          <w:sz w:val="20"/>
          <w:szCs w:val="20"/>
        </w:rPr>
        <w:t xml:space="preserve">Data is kept for the period below and then deleted or anonymized, unless a legal hold or a signed contract requires longer.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57"/>
        <w:gridCol w:w="3744"/>
        <w:gridCol w:w="2059"/>
      </w:tblGrid>
      <w:tr>
        <w:trPr>
          <w:cantSplit/>
          <w:tblHeader/>
        </w:trPr>
        <w:tc>
          <w:tcPr>
            <w:tcW w:type="dxa" w:w="355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Kept for</w:t>
            </w:r>
          </w:p>
        </w:tc>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Owner</w:t>
            </w:r>
          </w:p>
        </w:tc>
      </w:tr>
      <w:tr>
        <w:trPr>
          <w:cantSplit/>
        </w:trPr>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 data in production</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customer contract term, then deleted within [Deletion window]</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r>
      <w:tr>
        <w:trPr>
          <w:cantSplit/>
        </w:trPr>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Backups of customer data</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retention period]</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r>
      <w:tr>
        <w:trPr>
          <w:cantSplit/>
        </w:trPr>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and audit logs</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[Log retention period]</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r>
      <w:tr>
        <w:trPr>
          <w:cantSplit/>
        </w:trPr>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Audit evidence and policy records</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r>
      <w:tr>
        <w:trPr>
          <w:cantSplit/>
        </w:trPr>
        <w:tc>
          <w:tcPr>
            <w:tcW w:type="dxa" w:w="355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Employee and contractor records</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 required by employment law</w:t>
            </w:r>
          </w:p>
        </w:tc>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[People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Disposal and deletion</w:t>
      </w:r>
    </w:p>
    <w:p>
      <w:pPr>
        <w:pStyle w:val="ListParagraph"/>
        <w:numPr>
          <w:ilvl w:val="0"/>
          <w:numId w:val="2"/>
        </w:numPr>
        <w:spacing w:after="60" w:line="276"/>
      </w:pPr>
      <w:r>
        <w:rPr>
          <w:rFonts w:ascii="Arial" w:cs="Arial" w:eastAsia="Arial" w:hAnsi="Arial"/>
          <w:color w:val="1F2328"/>
          <w:sz w:val="20"/>
          <w:szCs w:val="20"/>
        </w:rPr>
        <w:t xml:space="preserve">Retention: Data is retained according to contractual requirements and a defined retention schedule.</w:t>
      </w:r>
    </w:p>
    <w:p>
      <w:pPr>
        <w:pStyle w:val="ListParagraph"/>
        <w:numPr>
          <w:ilvl w:val="0"/>
          <w:numId w:val="2"/>
        </w:numPr>
        <w:spacing w:after="60" w:line="276"/>
      </w:pPr>
      <w:r>
        <w:rPr>
          <w:rFonts w:ascii="Arial" w:cs="Arial" w:eastAsia="Arial" w:hAnsi="Arial"/>
          <w:color w:val="1F2328"/>
          <w:sz w:val="20"/>
          <w:szCs w:val="20"/>
        </w:rPr>
        <w:t xml:space="preserve">Disposal: Data and media are disposed of using [Data destruction method].</w:t>
      </w:r>
    </w:p>
    <w:p>
      <w:pPr>
        <w:pStyle w:val="ListParagraph"/>
        <w:numPr>
          <w:ilvl w:val="0"/>
          <w:numId w:val="2"/>
        </w:numPr>
        <w:spacing w:after="60" w:line="276"/>
      </w:pPr>
      <w:r>
        <w:rPr>
          <w:rFonts w:ascii="Arial" w:cs="Arial" w:eastAsia="Arial" w:hAnsi="Arial"/>
          <w:color w:val="1F2328"/>
          <w:sz w:val="20"/>
          <w:szCs w:val="20"/>
        </w:rPr>
        <w:t xml:space="preserve">Customer deletion: When a contract ends or a customer asks for deletion, their data is deleted from production within [Deletion window] and from backups as those backups expire. Each deletion is recorded with its date.</w:t>
      </w:r>
    </w:p>
    <w:p>
      <w:pPr>
        <w:pStyle w:val="ListParagraph"/>
        <w:numPr>
          <w:ilvl w:val="0"/>
          <w:numId w:val="2"/>
        </w:numPr>
        <w:spacing w:after="60" w:line="276"/>
      </w:pPr>
      <w:r>
        <w:rPr>
          <w:rFonts w:ascii="Arial" w:cs="Arial" w:eastAsia="Arial" w:hAnsi="Arial"/>
          <w:color w:val="1F2328"/>
          <w:sz w:val="20"/>
          <w:szCs w:val="20"/>
        </w:rPr>
        <w:t xml:space="preserve">Devices: Laptops and storage media are wiped before reuse or disposal, and the wipe is recorded against the asset.</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6.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Assigns each data set a level and approves access to Restricted and Confidential data.</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classification scheme</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 defining data sensitivity levels.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Encryption configuration</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Screenshots of database/storage encryption.</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[Cloud provider]</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Retention schedule</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 outlining data retention periods.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Deletion records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Customer data deletions and device wipes, with dates.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9.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10.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shared folder or system where evidence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[Cloud provider]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production runs, for example AWS, Google Cloud or Azure.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[Log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logs are kept, for example one year.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destruction method]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media and data are destroyed, for example to NIST SP 800-88.</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example 30 days.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[Deletion window]</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soon customer data is deleted after a contract ends, for example 30 days.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[People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hiring and departures, for example head of people.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owns production systems, for example engineering lead.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cybersoftware.com/templates/data-retention-policy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Data Classification and Retention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Classification and Retention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