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pPr>
      <w:r>
        <w:rPr>
          <w:rFonts w:ascii="Arial" w:cs="Arial" w:eastAsia="Arial" w:hAnsi="Arial"/>
          <w:color w:val="57606A"/>
          <w:sz w:val="20"/>
          <w:szCs w:val="20"/>
        </w:rPr>
        <w:t xml:space="preserve">[Company name]</w:t>
      </w:r>
    </w:p>
    <w:p>
      <w:pPr>
        <w:spacing w:after="240" w:before="0" w:line="276"/>
      </w:pPr>
      <w:r>
        <w:rPr>
          <w:rFonts w:ascii="Arial" w:cs="Arial" w:eastAsia="Arial" w:hAnsi="Arial"/>
          <w:b/>
          <w:bCs/>
          <w:color w:val="1F2328"/>
          <w:sz w:val="40"/>
          <w:szCs w:val="40"/>
        </w:rPr>
        <w:t xml:space="preserve">Information Security Policy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Owner</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[Security owner role]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Approved by</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[Policy approver role]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Effective date</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[Effective date]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Next review</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[Next review date]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Version</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[Version]</w:t>
            </w:r>
          </w:p>
        </w:tc>
      </w:tr>
    </w:tbl>
    <w:p>
      <w:pPr>
        <w:spacing w:after="20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1. Purpose and scope</w:t>
      </w:r>
    </w:p>
    <w:p>
      <w:pPr>
        <w:spacing w:after="120" w:before="0" w:line="276"/>
      </w:pPr>
      <w:r>
        <w:rPr>
          <w:rFonts w:ascii="Arial" w:cs="Arial" w:eastAsia="Arial" w:hAnsi="Arial"/>
          <w:color w:val="1F2328"/>
          <w:sz w:val="20"/>
          <w:szCs w:val="20"/>
        </w:rPr>
        <w:t xml:space="preserve">This policy sets out how [Company name] (the "Company") runs its information security program: who owns it, which policies sit under it, how management oversees it and how it is kept current. It supports the SOC 2 common criteria CC1.1, CC1.3 and CC2.2.</w:t>
      </w:r>
    </w:p>
    <w:p>
      <w:pPr>
        <w:spacing w:after="120" w:before="0" w:line="276"/>
      </w:pPr>
      <w:r>
        <w:rPr>
          <w:rFonts w:ascii="Arial" w:cs="Arial" w:eastAsia="Arial" w:hAnsi="Arial"/>
          <w:color w:val="1F2328"/>
          <w:sz w:val="20"/>
          <w:szCs w:val="20"/>
        </w:rPr>
        <w:t xml:space="preserve">This policy applies to all [In-scope personnel] and [In-scope systems]. Where a topic policy listed in section 6 is more specific, the topic policy applies.</w:t>
      </w:r>
    </w:p>
    <w:p>
      <w:pPr>
        <w:pStyle w:val="Heading2"/>
        <w:keepNext/>
        <w:spacing w:after="120" w:before="280"/>
      </w:pPr>
      <w:r>
        <w:rPr>
          <w:rFonts w:ascii="Arial" w:cs="Arial" w:eastAsia="Arial" w:hAnsi="Arial"/>
          <w:b/>
          <w:bCs/>
          <w:color w:val="1F2328"/>
          <w:sz w:val="26"/>
          <w:szCs w:val="26"/>
        </w:rPr>
        <w:t xml:space="preserve">2. Security objectives</w:t>
      </w:r>
    </w:p>
    <w:p>
      <w:pPr>
        <w:spacing w:after="120" w:before="0" w:line="276"/>
      </w:pPr>
      <w:r>
        <w:rPr>
          <w:rFonts w:ascii="Arial" w:cs="Arial" w:eastAsia="Arial" w:hAnsi="Arial"/>
          <w:color w:val="1F2328"/>
          <w:sz w:val="20"/>
          <w:szCs w:val="20"/>
        </w:rPr>
        <w:t xml:space="preserve">The security program exists to meet these objectives, and every policy under it serves at least one of them.</w:t>
      </w:r>
    </w:p>
    <w:p>
      <w:pPr>
        <w:pStyle w:val="ListParagraph"/>
        <w:numPr>
          <w:ilvl w:val="0"/>
          <w:numId w:val="2"/>
        </w:numPr>
        <w:spacing w:after="60" w:line="276"/>
      </w:pPr>
      <w:r>
        <w:rPr>
          <w:rFonts w:ascii="Arial" w:cs="Arial" w:eastAsia="Arial" w:hAnsi="Arial"/>
          <w:color w:val="1F2328"/>
          <w:sz w:val="20"/>
          <w:szCs w:val="20"/>
        </w:rPr>
        <w:t xml:space="preserve">Protect customer data from unauthorized access, change and loss.</w:t>
      </w:r>
    </w:p>
    <w:p>
      <w:pPr>
        <w:pStyle w:val="ListParagraph"/>
        <w:numPr>
          <w:ilvl w:val="0"/>
          <w:numId w:val="2"/>
        </w:numPr>
        <w:spacing w:after="60" w:line="276"/>
      </w:pPr>
      <w:r>
        <w:rPr>
          <w:rFonts w:ascii="Arial" w:cs="Arial" w:eastAsia="Arial" w:hAnsi="Arial"/>
          <w:color w:val="1F2328"/>
          <w:sz w:val="20"/>
          <w:szCs w:val="20"/>
        </w:rPr>
        <w:t xml:space="preserve">Keep the service available enough to meet the commitments made to customers.</w:t>
      </w:r>
    </w:p>
    <w:p>
      <w:pPr>
        <w:pStyle w:val="ListParagraph"/>
        <w:numPr>
          <w:ilvl w:val="0"/>
          <w:numId w:val="2"/>
        </w:numPr>
        <w:spacing w:after="60" w:line="276"/>
      </w:pPr>
      <w:r>
        <w:rPr>
          <w:rFonts w:ascii="Arial" w:cs="Arial" w:eastAsia="Arial" w:hAnsi="Arial"/>
          <w:color w:val="1F2328"/>
          <w:sz w:val="20"/>
          <w:szCs w:val="20"/>
        </w:rPr>
        <w:t xml:space="preserve">Meet the security obligations in customer contracts and applicable law.</w:t>
      </w:r>
    </w:p>
    <w:p>
      <w:pPr>
        <w:pStyle w:val="ListParagraph"/>
        <w:numPr>
          <w:ilvl w:val="0"/>
          <w:numId w:val="2"/>
        </w:numPr>
        <w:spacing w:after="60" w:line="276"/>
      </w:pPr>
      <w:r>
        <w:rPr>
          <w:rFonts w:ascii="Arial" w:cs="Arial" w:eastAsia="Arial" w:hAnsi="Arial"/>
          <w:color w:val="1F2328"/>
          <w:sz w:val="20"/>
          <w:szCs w:val="20"/>
        </w:rPr>
        <w:t xml:space="preserve">Find and fix weaknesses before they are exploited, and learn from incidents when they happen.</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3. Management commitment and oversight</w:t>
      </w:r>
    </w:p>
    <w:p>
      <w:pPr>
        <w:spacing w:after="120" w:before="0" w:line="276"/>
      </w:pPr>
      <w:r>
        <w:rPr>
          <w:rFonts w:ascii="Arial" w:cs="Arial" w:eastAsia="Arial" w:hAnsi="Arial"/>
          <w:color w:val="1F2328"/>
          <w:sz w:val="20"/>
          <w:szCs w:val="20"/>
        </w:rPr>
        <w:t xml:space="preserve">The security program, including its policies, controls and risk assessment results, is reviewed, updated and formally approved by the [Policy approver role] at least once a year.</w:t>
      </w:r>
    </w:p>
    <w:p>
      <w:pPr>
        <w:spacing w:after="120" w:before="0" w:line="276"/>
      </w:pPr>
      <w:r>
        <w:rPr>
          <w:rFonts w:ascii="Arial" w:cs="Arial" w:eastAsia="Arial" w:hAnsi="Arial"/>
          <w:color w:val="1F2328"/>
          <w:sz w:val="20"/>
          <w:szCs w:val="20"/>
        </w:rPr>
        <w:t xml:space="preserve">The [Management review body] meets at least once a year to oversee the security program, business strategy and risks. Meeting minutes are kept as evidence. The [Security owner role] reports to it at least twice a year on open risks, control deficiencies and their remediation, incidents, and the results of recurring reviews.</w:t>
      </w:r>
    </w:p>
    <w:p>
      <w:pPr>
        <w:pStyle w:val="Heading2"/>
        <w:keepNext/>
        <w:spacing w:after="120" w:before="280"/>
      </w:pPr>
      <w:r>
        <w:rPr>
          <w:rFonts w:ascii="Arial" w:cs="Arial" w:eastAsia="Arial" w:hAnsi="Arial"/>
          <w:b/>
          <w:bCs/>
          <w:color w:val="1F2328"/>
          <w:sz w:val="26"/>
          <w:szCs w:val="26"/>
        </w:rPr>
        <w:t xml:space="preserve">4. Security roles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59"/>
        <w:gridCol w:w="2434"/>
        <w:gridCol w:w="4867"/>
      </w:tblGrid>
      <w:tr>
        <w:trPr>
          <w:cantSplit/>
          <w:tblHeader/>
        </w:trPr>
        <w:tc>
          <w:tcPr>
            <w:tcW w:type="dxa" w:w="2059"/>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Role</w:t>
            </w:r>
          </w:p>
        </w:tc>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Held by</w:t>
            </w:r>
          </w:p>
        </w:tc>
        <w:tc>
          <w:tcPr>
            <w:tcW w:type="dxa" w:w="4867"/>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Core responsibilities</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Executive sponsor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Sets the tone for security, approves policies and risk acceptance, provides resources, and receives security reporting at least twice a year.</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and compliance owner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Runs the security program day to day: maintains policies, runs risk assessments and access reviews, leads incident response, manages the audit, and tracks remediation.</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Engineering lead</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[Engineering owner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Owns the security of the Company's product and the production cloud environment: secure development, change management, vulnerability remediation, logging, backups and recovery.</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IT lead</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[IT owner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Owns corporate systems and devices: account provisioning and removal, device encryption and updates, endpoint protection, and administration of the software services the Company subscribes to.</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People lead</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[People owner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Owns the people side of security: background checks, onboarding and offboarding notices, policy acknowledgments, training records and disciplinary process.</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All personnel</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Everyone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Follow Company policies, complete training, protect credentials and data, and report suspected incidents within 1 hour.</w:t>
            </w:r>
          </w:p>
        </w:tc>
      </w:tr>
    </w:tbl>
    <w:p>
      <w:pPr>
        <w:spacing w:after="120" w:before="0" w:line="276"/>
      </w:pPr>
      <w:r>
        <w:rPr>
          <w:rFonts w:ascii="Arial" w:cs="Arial" w:eastAsia="Arial" w:hAnsi="Arial"/>
          <w:color w:val="1F2328"/>
          <w:sz w:val="20"/>
          <w:szCs w:val="20"/>
        </w:rPr>
        <w:t xml:space="preserve"/>
      </w:r>
    </w:p>
    <w:p>
      <w:pPr>
        <w:spacing w:after="120" w:before="0" w:line="276"/>
      </w:pPr>
      <w:r>
        <w:rPr>
          <w:rFonts w:ascii="Arial" w:cs="Arial" w:eastAsia="Arial" w:hAnsi="Arial"/>
          <w:color w:val="1F2328"/>
          <w:sz w:val="20"/>
          <w:szCs w:val="20"/>
        </w:rPr>
        <w:t xml:space="preserve">At a company of this size one person often holds more than one role. That is acceptable, provided each role has a named holder and no one approves their own access or reviews their own work.</w:t>
      </w:r>
    </w:p>
    <w:p>
      <w:pPr>
        <w:pStyle w:val="Heading2"/>
        <w:keepNext/>
        <w:spacing w:after="120" w:before="280"/>
      </w:pPr>
      <w:r>
        <w:rPr>
          <w:rFonts w:ascii="Arial" w:cs="Arial" w:eastAsia="Arial" w:hAnsi="Arial"/>
          <w:b/>
          <w:bCs/>
          <w:color w:val="1F2328"/>
          <w:sz w:val="26"/>
          <w:szCs w:val="26"/>
        </w:rPr>
        <w:t xml:space="preserve">5. Responsibility matrix</w:t>
      </w:r>
    </w:p>
    <w:p>
      <w:pPr>
        <w:spacing w:after="120" w:before="0" w:line="276"/>
      </w:pPr>
      <w:r>
        <w:rPr>
          <w:rFonts w:ascii="Arial" w:cs="Arial" w:eastAsia="Arial" w:hAnsi="Arial"/>
          <w:color w:val="1F2328"/>
          <w:sz w:val="20"/>
          <w:szCs w:val="20"/>
        </w:rPr>
        <w:t xml:space="preserve">R = Responsible (does the work). A = Accountable (owns the outcome and signs off; exactly one per activity). C = Consulted (gives input before the work is done). I = Informed (told of the result).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21"/>
        <w:gridCol w:w="1685"/>
        <w:gridCol w:w="936"/>
        <w:gridCol w:w="1123"/>
        <w:gridCol w:w="1123"/>
        <w:gridCol w:w="936"/>
        <w:gridCol w:w="936"/>
      </w:tblGrid>
      <w:tr>
        <w:trPr>
          <w:cantSplit/>
          <w:tblHeader/>
        </w:trPr>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Activity</w:t>
            </w:r>
          </w:p>
        </w:tc>
        <w:tc>
          <w:tcPr>
            <w:tcW w:type="dxa" w:w="168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Frequency</w:t>
            </w:r>
          </w:p>
        </w:tc>
        <w:tc>
          <w:tcPr>
            <w:tcW w:type="dxa" w:w="936"/>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Executive</w:t>
            </w:r>
          </w:p>
        </w:tc>
        <w:tc>
          <w:tcPr>
            <w:tcW w:type="dxa" w:w="1123"/>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Security owner</w:t>
            </w:r>
          </w:p>
        </w:tc>
        <w:tc>
          <w:tcPr>
            <w:tcW w:type="dxa" w:w="1123"/>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Engineering</w:t>
            </w:r>
          </w:p>
        </w:tc>
        <w:tc>
          <w:tcPr>
            <w:tcW w:type="dxa" w:w="936"/>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IT</w:t>
            </w:r>
          </w:p>
        </w:tc>
        <w:tc>
          <w:tcPr>
            <w:tcW w:type="dxa" w:w="936"/>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People</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User access reviews</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As set in the Access Control Policy</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Onboarding and offboarding of accounts</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Each joiner and leaver</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Vendor security reviews</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As set in the Vendor Management Policy</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 R</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Incident response</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Each incident</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 R</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approval</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Yearly</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Risk assessment</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As set in the Risk Assessment Policy</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Vulnerability remediation</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As set in the Vulnerability Management Policy</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Backup restore testing</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As set in the Business Continuity and Disaster Recovery Plan</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awareness training</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As set in the Security Awareness Training Policy</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 R</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w:t>
            </w:r>
          </w:p>
        </w:tc>
      </w:tr>
    </w:tbl>
    <w:p>
      <w:pPr>
        <w:spacing w:after="120" w:before="0" w:line="276"/>
      </w:pPr>
      <w:r>
        <w:rPr>
          <w:rFonts w:ascii="Arial" w:cs="Arial" w:eastAsia="Arial" w:hAnsi="Arial"/>
          <w:color w:val="1F2328"/>
          <w:sz w:val="20"/>
          <w:szCs w:val="20"/>
        </w:rPr>
        <w:t xml:space="preserve"/>
      </w:r>
    </w:p>
    <w:p>
      <w:pPr>
        <w:spacing w:after="120" w:before="0" w:line="276"/>
      </w:pPr>
      <w:r>
        <w:rPr>
          <w:rFonts w:ascii="Arial" w:cs="Arial" w:eastAsia="Arial" w:hAnsi="Arial"/>
          <w:color w:val="1F2328"/>
          <w:sz w:val="20"/>
          <w:szCs w:val="20"/>
        </w:rPr>
        <w:t xml:space="preserve">Where the frequency names a topic policy, that policy sets it, so the two documents cannot disagree.</w:t>
      </w:r>
    </w:p>
    <w:p>
      <w:pPr>
        <w:pBdr>
          <w:left w:val="single" w:color="8C959F" w:sz="12" w:space="8"/>
        </w:pBdr>
        <w:spacing w:after="160" w:before="60" w:line="276"/>
        <w:ind w:left="200"/>
      </w:pPr>
      <w:r>
        <w:rPr>
          <w:rFonts w:ascii="Arial" w:cs="Arial" w:eastAsia="Arial" w:hAnsi="Arial"/>
          <w:color w:val="1F2328"/>
          <w:sz w:val="19"/>
          <w:szCs w:val="19"/>
        </w:rPr>
        <w:t xml:space="preserve">Where one person holds two roles in the same row, a different person performs the review or approval. For access reviews, no one reviews their own access; the [Policy approver role] reviews the access of the security owner.</w:t>
      </w:r>
    </w:p>
    <w:p>
      <w:pPr>
        <w:pStyle w:val="Heading2"/>
        <w:keepNext/>
        <w:spacing w:after="120" w:before="280"/>
      </w:pPr>
      <w:r>
        <w:rPr>
          <w:rFonts w:ascii="Arial" w:cs="Arial" w:eastAsia="Arial" w:hAnsi="Arial"/>
          <w:b/>
          <w:bCs/>
          <w:color w:val="1F2328"/>
          <w:sz w:val="26"/>
          <w:szCs w:val="26"/>
        </w:rPr>
        <w:t xml:space="preserve">6. Policy framework</w:t>
      </w:r>
    </w:p>
    <w:p>
      <w:pPr>
        <w:spacing w:after="120" w:before="0" w:line="276"/>
      </w:pPr>
      <w:r>
        <w:rPr>
          <w:rFonts w:ascii="Arial" w:cs="Arial" w:eastAsia="Arial" w:hAnsi="Arial"/>
          <w:color w:val="1F2328"/>
          <w:sz w:val="20"/>
          <w:szCs w:val="20"/>
        </w:rPr>
        <w:t xml:space="preserve">The policies below sit under this one. Each names its owner, is approved by the [Policy approver role] and is reviewed at least once a year.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82"/>
        <w:gridCol w:w="4306"/>
        <w:gridCol w:w="1872"/>
      </w:tblGrid>
      <w:tr>
        <w:trPr>
          <w:cantSplit/>
          <w:tblHeader/>
        </w:trPr>
        <w:tc>
          <w:tcPr>
            <w:tcW w:type="dxa" w:w="318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Policy</w:t>
            </w:r>
          </w:p>
        </w:tc>
        <w:tc>
          <w:tcPr>
            <w:tcW w:type="dxa" w:w="4306"/>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it covers</w:t>
            </w:r>
          </w:p>
        </w:tc>
        <w:tc>
          <w:tcPr>
            <w:tcW w:type="dxa" w:w="187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Criteria</w:t>
            </w:r>
          </w:p>
        </w:tc>
      </w:tr>
      <w:tr>
        <w:trPr>
          <w:cantSplit/>
        </w:trPr>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Access Control Policy</w:t>
            </w:r>
          </w:p>
        </w:tc>
        <w:tc>
          <w:tcPr>
            <w:tcW w:type="dxa" w:w="430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Accounts, authentication, least privilege and access reviews</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CC6.1, CC6.2, CC6.3</w:t>
            </w:r>
          </w:p>
        </w:tc>
      </w:tr>
      <w:tr>
        <w:trPr>
          <w:cantSplit/>
        </w:trPr>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Acceptable Use Policy</w:t>
            </w:r>
          </w:p>
        </w:tc>
        <w:tc>
          <w:tcPr>
            <w:tcW w:type="dxa" w:w="430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Use of company systems, accounts, devices and data</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CC1.1, CC1.5</w:t>
            </w:r>
          </w:p>
        </w:tc>
      </w:tr>
      <w:tr>
        <w:trPr>
          <w:cantSplit/>
        </w:trPr>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Change Management Policy</w:t>
            </w:r>
          </w:p>
        </w:tc>
        <w:tc>
          <w:tcPr>
            <w:tcW w:type="dxa" w:w="430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How code and infrastructure changes are reviewed, tested and released</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CC8.1</w:t>
            </w:r>
          </w:p>
        </w:tc>
      </w:tr>
      <w:tr>
        <w:trPr>
          <w:cantSplit/>
        </w:trPr>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Vendor Management Policy</w:t>
            </w:r>
          </w:p>
        </w:tc>
        <w:tc>
          <w:tcPr>
            <w:tcW w:type="dxa" w:w="430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Assessing, contracting with and monitoring third parties</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w:t>
            </w:r>
          </w:p>
        </w:tc>
      </w:tr>
      <w:tr>
        <w:trPr>
          <w:cantSplit/>
        </w:trPr>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Data Classification and Retention Policy</w:t>
            </w:r>
          </w:p>
        </w:tc>
        <w:tc>
          <w:tcPr>
            <w:tcW w:type="dxa" w:w="430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Classification levels, handling, retention periods and disposal</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CC6.1, CC6.5</w:t>
            </w:r>
          </w:p>
        </w:tc>
      </w:tr>
      <w:tr>
        <w:trPr>
          <w:cantSplit/>
        </w:trPr>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Encryption Policy</w:t>
            </w:r>
          </w:p>
        </w:tc>
        <w:tc>
          <w:tcPr>
            <w:tcW w:type="dxa" w:w="430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Encryption at rest and in transit, keys and certificates</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CC6.1, CC6.7</w:t>
            </w:r>
          </w:p>
        </w:tc>
      </w:tr>
      <w:tr>
        <w:trPr>
          <w:cantSplit/>
        </w:trPr>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Business Continuity and Disaster Recovery Plan</w:t>
            </w:r>
          </w:p>
        </w:tc>
        <w:tc>
          <w:tcPr>
            <w:tcW w:type="dxa" w:w="430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Recovery targets, backups, restore tests and failover</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CC7.5, CC9.1</w:t>
            </w:r>
          </w:p>
        </w:tc>
      </w:tr>
      <w:tr>
        <w:trPr>
          <w:cantSplit/>
        </w:trPr>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Risk Assessment Policy</w:t>
            </w:r>
          </w:p>
        </w:tc>
        <w:tc>
          <w:tcPr>
            <w:tcW w:type="dxa" w:w="430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annual risk assessment, the risk register and treatment</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CC3.1, CC3.2, CC3.3, CC3.4</w:t>
            </w:r>
          </w:p>
        </w:tc>
      </w:tr>
      <w:tr>
        <w:trPr>
          <w:cantSplit/>
        </w:trPr>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Vulnerability Management Policy</w:t>
            </w:r>
          </w:p>
        </w:tc>
        <w:tc>
          <w:tcPr>
            <w:tcW w:type="dxa" w:w="430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Scanning, fix deadlines, patching and network protections</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CC6.6, CC7.1</w:t>
            </w:r>
          </w:p>
        </w:tc>
      </w:tr>
      <w:tr>
        <w:trPr>
          <w:cantSplit/>
        </w:trPr>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Logging and Monitoring Policy</w:t>
            </w:r>
          </w:p>
        </w:tc>
        <w:tc>
          <w:tcPr>
            <w:tcW w:type="dxa" w:w="430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What is logged, how long it is kept, alerting and review</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CC7.1, CC7.2</w:t>
            </w:r>
          </w:p>
        </w:tc>
      </w:tr>
      <w:tr>
        <w:trPr>
          <w:cantSplit/>
        </w:trPr>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Awareness Training Policy</w:t>
            </w:r>
          </w:p>
        </w:tc>
        <w:tc>
          <w:tcPr>
            <w:tcW w:type="dxa" w:w="430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Screening, training, acknowledgments and discipline</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CC1.4, CC1.5</w:t>
            </w:r>
          </w:p>
        </w:tc>
      </w:tr>
      <w:tr>
        <w:trPr>
          <w:cantSplit/>
        </w:trPr>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Incident Response Plan</w:t>
            </w:r>
          </w:p>
        </w:tc>
        <w:tc>
          <w:tcPr>
            <w:tcW w:type="dxa" w:w="430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Severity, roles, notification and post-incident review</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CC7.3, CC7.4, CC7.5</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7. Communication and acknowledgment</w:t>
      </w:r>
    </w:p>
    <w:p>
      <w:pPr>
        <w:pStyle w:val="ListParagraph"/>
        <w:numPr>
          <w:ilvl w:val="0"/>
          <w:numId w:val="2"/>
        </w:numPr>
        <w:spacing w:after="60" w:line="276"/>
      </w:pPr>
      <w:r>
        <w:rPr>
          <w:rFonts w:ascii="Arial" w:cs="Arial" w:eastAsia="Arial" w:hAnsi="Arial"/>
          <w:color w:val="1F2328"/>
          <w:sz w:val="20"/>
          <w:szCs w:val="20"/>
        </w:rPr>
        <w:t xml:space="preserve">Policies are published where all personnel can read them, in [Documentation system].</w:t>
      </w:r>
    </w:p>
    <w:p>
      <w:pPr>
        <w:pStyle w:val="ListParagraph"/>
        <w:numPr>
          <w:ilvl w:val="0"/>
          <w:numId w:val="2"/>
        </w:numPr>
        <w:spacing w:after="60" w:line="276"/>
      </w:pPr>
      <w:r>
        <w:rPr>
          <w:rFonts w:ascii="Arial" w:cs="Arial" w:eastAsia="Arial" w:hAnsi="Arial"/>
          <w:color w:val="1F2328"/>
          <w:sz w:val="20"/>
          <w:szCs w:val="20"/>
        </w:rPr>
        <w:t xml:space="preserve">Security roles and responsibilities are documented in job descriptions and explained during onboarding and annual training.</w:t>
      </w:r>
    </w:p>
    <w:p>
      <w:pPr>
        <w:pStyle w:val="ListParagraph"/>
        <w:numPr>
          <w:ilvl w:val="0"/>
          <w:numId w:val="2"/>
        </w:numPr>
        <w:spacing w:after="60" w:line="276"/>
      </w:pPr>
      <w:r>
        <w:rPr>
          <w:rFonts w:ascii="Arial" w:cs="Arial" w:eastAsia="Arial" w:hAnsi="Arial"/>
          <w:color w:val="1F2328"/>
          <w:sz w:val="20"/>
          <w:szCs w:val="20"/>
        </w:rPr>
        <w:t xml:space="preserve">New personnel acknowledge this policy and the policies that apply to them before or on their first day. Everyone acknowledges the current versions once a year.</w:t>
      </w:r>
    </w:p>
    <w:p>
      <w:pPr>
        <w:pStyle w:val="ListParagraph"/>
        <w:numPr>
          <w:ilvl w:val="0"/>
          <w:numId w:val="2"/>
        </w:numPr>
        <w:spacing w:after="60" w:line="276"/>
      </w:pPr>
      <w:r>
        <w:rPr>
          <w:rFonts w:ascii="Arial" w:cs="Arial" w:eastAsia="Arial" w:hAnsi="Arial"/>
          <w:color w:val="1F2328"/>
          <w:sz w:val="20"/>
          <w:szCs w:val="20"/>
        </w:rPr>
        <w:t xml:space="preserve">Control deficiencies are recorded with an owner and a due date and tracked until closed.</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8. Evidence and records</w:t>
      </w:r>
    </w:p>
    <w:p>
      <w:pPr>
        <w:spacing w:after="120" w:before="0" w:line="276"/>
      </w:pPr>
      <w:r>
        <w:rPr>
          <w:rFonts w:ascii="Arial" w:cs="Arial" w:eastAsia="Arial" w:hAnsi="Arial"/>
          <w:color w:val="1F2328"/>
          <w:sz w:val="20"/>
          <w:szCs w:val="20"/>
        </w:rPr>
        <w:t xml:space="preserve">The records below show that this policy operates. Each is dated, kept for at least [Evidence retention period], and stored where an auditor can be given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21"/>
        <w:gridCol w:w="4118"/>
        <w:gridCol w:w="2621"/>
      </w:tblGrid>
      <w:tr>
        <w:trPr>
          <w:cantSplit/>
          <w:tblHeader/>
        </w:trPr>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Record</w:t>
            </w:r>
          </w:p>
        </w:tc>
        <w:tc>
          <w:tcPr>
            <w:tcW w:type="dxa" w:w="411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it shows</w:t>
            </w:r>
          </w:p>
        </w:tc>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Where it is kept</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Approved policy</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This document, signed by the approver, with its version history.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Signed role acknowledgments</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Each role holder accepts the role in section 4.</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storage location]</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acknowledgment log</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Who acknowledged which policy version, and when.</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storage location]</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Management review minutes</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oversight meetings in section 3, with the report presented.</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storage location]</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9. Exceptions and enforcement</w:t>
      </w:r>
    </w:p>
    <w:p>
      <w:pPr>
        <w:spacing w:after="120" w:before="0" w:line="276"/>
      </w:pPr>
      <w:r>
        <w:rPr>
          <w:rFonts w:ascii="Arial" w:cs="Arial" w:eastAsia="Arial" w:hAnsi="Arial"/>
          <w:color w:val="1F2328"/>
          <w:sz w:val="20"/>
          <w:szCs w:val="20"/>
        </w:rPr>
        <w:t xml:space="preserve">A deviation from this policy needs a written exception approved by the [Security owner role] before it begins. Each exception records the rule not met, the business reason, the compensating control and an expiry date no more than 12 months away. Exceptions are reviewed at each annual review.</w:t>
      </w:r>
    </w:p>
    <w:p>
      <w:pPr>
        <w:spacing w:after="120" w:before="0" w:line="276"/>
      </w:pPr>
      <w:r>
        <w:rPr>
          <w:rFonts w:ascii="Arial" w:cs="Arial" w:eastAsia="Arial" w:hAnsi="Arial"/>
          <w:color w:val="1F2328"/>
          <w:sz w:val="20"/>
          <w:szCs w:val="20"/>
        </w:rPr>
        <w:t xml:space="preserve">A breach of this policy is handled under the Company disciplinary process and may lead to action up to and including termination of employment or contract. A breach that exposes customer data is also handled as a security incident.</w:t>
      </w:r>
    </w:p>
    <w:p>
      <w:pPr>
        <w:pStyle w:val="Heading2"/>
        <w:keepNext/>
        <w:spacing w:after="120" w:before="280"/>
      </w:pPr>
      <w:r>
        <w:rPr>
          <w:rFonts w:ascii="Arial" w:cs="Arial" w:eastAsia="Arial" w:hAnsi="Arial"/>
          <w:b/>
          <w:bCs/>
          <w:color w:val="1F2328"/>
          <w:sz w:val="26"/>
          <w:szCs w:val="26"/>
        </w:rPr>
        <w:t xml:space="preserve">10. Review and approval</w:t>
      </w:r>
    </w:p>
    <w:p>
      <w:pPr>
        <w:spacing w:after="120" w:before="0" w:line="276"/>
      </w:pPr>
      <w:r>
        <w:rPr>
          <w:rFonts w:ascii="Arial" w:cs="Arial" w:eastAsia="Arial" w:hAnsi="Arial"/>
          <w:color w:val="1F2328"/>
          <w:sz w:val="20"/>
          <w:szCs w:val="20"/>
        </w:rPr>
        <w:t xml:space="preserve">The [Security owner role] reviews this policy at least once a year and after any significant change to the business, the systems in scope or the risks they face. The [Policy approver role] approves each version. Personnel are told of material changes and acknowledge the current version.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10"/>
        <w:gridCol w:w="1872"/>
        <w:gridCol w:w="3744"/>
        <w:gridCol w:w="2434"/>
      </w:tblGrid>
      <w:tr>
        <w:trPr>
          <w:cantSplit/>
          <w:tblHeader/>
        </w:trPr>
        <w:tc>
          <w:tcPr>
            <w:tcW w:type="dxa" w:w="131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Version</w:t>
            </w:r>
          </w:p>
        </w:tc>
        <w:tc>
          <w:tcPr>
            <w:tcW w:type="dxa" w:w="187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Date</w:t>
            </w:r>
          </w:p>
        </w:tc>
        <w:tc>
          <w:tcPr>
            <w:tcW w:type="dxa" w:w="374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Summary of change</w:t>
            </w:r>
          </w:p>
        </w:tc>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Approved by</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[Version]</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[Effective date]</w:t>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First version.</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[Policy approver role]</w:t>
            </w:r>
          </w:p>
        </w:tc>
      </w:tr>
      <w:tr>
        <w:trPr>
          <w:cantSplit/>
          <w:trHeight w:val="504" w:hRule="atLeas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bl>
    <w:p>
      <w:pPr>
        <w:spacing w:after="120" w:before="0" w:line="276"/>
      </w:pPr>
      <w:r>
        <w:rPr>
          <w:rFonts w:ascii="Arial" w:cs="Arial" w:eastAsia="Arial" w:hAnsi="Arial"/>
          <w:color w:val="1F2328"/>
          <w:sz w:val="20"/>
          <w:szCs w:val="20"/>
        </w:rPr>
        <w:t xml:space="preserve"/>
      </w:r>
    </w:p>
    <w:p>
      <w:pPr>
        <w:keepNext/>
        <w:keepLines/>
        <w:spacing w:after="60" w:before="240" w:line="276"/>
      </w:pPr>
      <w:r>
        <w:rPr>
          <w:rFonts w:ascii="Arial" w:cs="Arial" w:eastAsia="Arial" w:hAnsi="Arial"/>
          <w:b/>
          <w:bCs/>
          <w:color w:val="1F2328"/>
          <w:sz w:val="20"/>
          <w:szCs w:val="20"/>
        </w:rPr>
        <w:t xml:space="preserve">Policy approver</w:t>
      </w:r>
    </w:p>
    <w:p>
      <w:pPr>
        <w:keepNext/>
        <w:keepLines/>
        <w:pBdr>
          <w:bottom w:val="single" w:color="D0D7DE" w:sz="4" w:space="2"/>
        </w:pBdr>
        <w:spacing w:after="60" w:before="200"/>
      </w:pPr>
      <w:r>
        <w:rPr>
          <w:rFonts w:ascii="Arial" w:cs="Arial" w:eastAsia="Arial" w:hAnsi="Arial"/>
          <w:color w:val="57606A"/>
          <w:sz w:val="19"/>
          <w:szCs w:val="19"/>
        </w:rPr>
        <w:t xml:space="preserve">Name: </w:t>
      </w:r>
    </w:p>
    <w:p>
      <w:pPr>
        <w:keepNext/>
        <w:keepLines/>
        <w:pBdr>
          <w:bottom w:val="single" w:color="D0D7DE" w:sz="4" w:space="2"/>
        </w:pBdr>
        <w:spacing w:after="60" w:before="200"/>
      </w:pPr>
      <w:r>
        <w:rPr>
          <w:rFonts w:ascii="Arial" w:cs="Arial" w:eastAsia="Arial" w:hAnsi="Arial"/>
          <w:color w:val="57606A"/>
          <w:sz w:val="19"/>
          <w:szCs w:val="19"/>
        </w:rPr>
        <w:t xml:space="preserve">Signature: </w:t>
      </w:r>
    </w:p>
    <w:p>
      <w:pPr>
        <w:keepNext w:val="false"/>
        <w:keepLines/>
        <w:pBdr>
          <w:bottom w:val="single" w:color="D0D7DE" w:sz="4" w:space="2"/>
        </w:pBdr>
        <w:spacing w:after="60" w:before="200"/>
      </w:pPr>
      <w:r>
        <w:rPr>
          <w:rFonts w:ascii="Arial" w:cs="Arial" w:eastAsia="Arial" w:hAnsi="Arial"/>
          <w:color w:val="57606A"/>
          <w:sz w:val="19"/>
          <w:szCs w:val="19"/>
        </w:rPr>
        <w:t xml:space="preserve">Date: </w:t>
      </w:r>
    </w:p>
    <w:p>
      <w:pPr>
        <w:pStyle w:val="Heading2"/>
        <w:keepNext/>
        <w:spacing w:after="120" w:before="280"/>
      </w:pPr>
      <w:r>
        <w:rPr>
          <w:rFonts w:ascii="Arial" w:cs="Arial" w:eastAsia="Arial" w:hAnsi="Arial"/>
          <w:b/>
          <w:bCs/>
          <w:color w:val="1F2328"/>
          <w:sz w:val="26"/>
          <w:szCs w:val="26"/>
        </w:rPr>
        <w:t xml:space="preserve">11. Fields to complete</w:t>
      </w:r>
    </w:p>
    <w:p>
      <w:pPr>
        <w:spacing w:after="120" w:before="0" w:line="276"/>
      </w:pPr>
      <w:r>
        <w:rPr>
          <w:rFonts w:ascii="Arial" w:cs="Arial" w:eastAsia="Arial" w:hAnsi="Arial"/>
          <w:color w:val="1F2328"/>
          <w:sz w:val="20"/>
          <w:szCs w:val="20"/>
        </w:rPr>
        <w:t xml:space="preserve">Replace every bracketed field in this document with your own detail, then delete this section.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95"/>
        <w:gridCol w:w="6365"/>
      </w:tblGrid>
      <w:tr>
        <w:trPr>
          <w:cantSplit/>
          <w:tblHeader/>
        </w:trPr>
        <w:tc>
          <w:tcPr>
            <w:tcW w:type="dxa" w:w="299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Field</w:t>
            </w:r>
          </w:p>
        </w:tc>
        <w:tc>
          <w:tcPr>
            <w:tcW w:type="dxa" w:w="636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to enter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[Company name]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Your legal company name.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[Effective date]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date the approver signs this version.</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[Version]</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Start at 1.0 and increase it each time the document changes.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role that runs the security program day to day, for example Chief Technology Officer.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officer who approves policies and accepted risks, for example Chief Executive Officer.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[Management review body]</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group that oversees security, for example the leadership team meeting or an advisory board.</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storage location]</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shared folder or system where evidence is kept.</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policies and procedures are published, for example the company wiki.</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[In-scope personnel]</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Who the policy covers, for example employees and contractors with access to company systems.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[In-scope systems]</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product, cloud accounts and tools inside the audit boundary.</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retention period]</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How long audit evidence is kept, for example three years.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[IT owner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role that runs company devices and accounts, for example IT lead.</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[People owner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role that runs hiring and departures, for example head of people.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[Engineering owner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role that owns production systems, for example engineering lead.</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[Next review date]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date this version must be reviewed by, at most 12 months after the effective date.</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Source</w:t>
      </w:r>
    </w:p>
    <w:p>
      <w:pPr>
        <w:spacing w:after="120" w:before="0" w:line="276"/>
      </w:pPr>
      <w:r>
        <w:rPr>
          <w:rFonts w:ascii="Arial" w:cs="Arial" w:eastAsia="Arial" w:hAnsi="Arial"/>
          <w:color w:val="1F2328"/>
          <w:sz w:val="20"/>
          <w:szCs w:val="20"/>
        </w:rPr>
        <w:t xml:space="preserve">Source: free template from cybersoftware.com/templates/information-security-policy (CC BY 4.0).</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7606A"/>
        <w:sz w:val="16"/>
        <w:szCs w:val="16"/>
      </w:rPr>
      <w:t xml:space="preserve">[Company name]  |  Information Security Policy  |  Page </w:t>
    </w:r>
    <w:r>
      <w:rPr>
        <w:rFonts w:ascii="Arial" w:cs="Arial" w:eastAsia="Arial" w:hAnsi="Arial"/>
        <w:color w:val="57606A"/>
        <w:sz w:val="16"/>
        <w:szCs w:val="16"/>
      </w:rPr>
      <w:fldChar w:fldCharType="begin"/>
      <w:instrText xml:space="preserve">PAGE</w:instrText>
      <w:fldChar w:fldCharType="separate"/>
      <w:fldChar w:fldCharType="end"/>
    </w:r>
    <w:r>
      <w:rPr>
        <w:rFonts w:ascii="Arial" w:cs="Arial" w:eastAsia="Arial" w:hAnsi="Arial"/>
        <w:color w:val="57606A"/>
        <w:sz w:val="16"/>
        <w:szCs w:val="16"/>
      </w:rPr>
      <w:t xml:space="preserve"> of </w:t>
    </w:r>
    <w:r>
      <w:rPr>
        <w:rFonts w:ascii="Arial" w:cs="Arial" w:eastAsia="Arial" w:hAnsi="Arial"/>
        <w:color w:val="57606A"/>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328"/>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pPr>
      <w:keepNext/>
      <w:keepLines/>
    </w:pPr>
    <w:rPr>
      <w:rFonts w:ascii="Arial" w:cs="Arial" w:eastAsia="Arial" w:hAnsi="Arial"/>
      <w:b/>
      <w:bCs/>
      <w:color w:val="1F2328"/>
      <w:sz w:val="26"/>
      <w:szCs w:val="26"/>
    </w:rPr>
  </w:style>
  <w:style w:type="paragraph" w:styleId="Heading3">
    <w:name w:val="Heading 3"/>
    <w:basedOn w:val="Normal"/>
    <w:next w:val="Normal"/>
    <w:qFormat/>
    <w:pPr>
      <w:keepNext/>
      <w:keepLines/>
    </w:pPr>
    <w:rPr>
      <w:rFonts w:ascii="Arial" w:cs="Arial" w:eastAsia="Arial" w:hAnsi="Arial"/>
      <w:b/>
      <w:bCs/>
      <w:color w:val="1F2328"/>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Security Policy, [Company name]</dc:title>
  <dc:creator>[Company name]</dc:creator>
  <cp:lastModifiedBy>Un-named</cp:lastModifiedBy>
  <cp:revision>1</cp:revision>
  <dcterms:created xsi:type="dcterms:W3CDTF">2026-10-02T00:00:00Z</dcterms:created>
  <dcterms:modified xsi:type="dcterms:W3CDTF">2026-10-02T00:00:00Z</dcterms:modified>
</cp:coreProperties>
</file>

<file path=docProps/custom.xml><?xml version="1.0" encoding="utf-8"?>
<Properties xmlns="http://schemas.openxmlformats.org/officeDocument/2006/custom-properties" xmlns:vt="http://schemas.openxmlformats.org/officeDocument/2006/docPropsVTypes"/>
</file>