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Logging and Monitoring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CC7.1 and CC7.2 by establishing requirements for logging, monitoring, and alerting.</w:t>
      </w:r>
    </w:p>
    <w:p>
      <w:pPr>
        <w:spacing w:after="120" w:before="0" w:line="276"/>
      </w:pPr>
      <w:r>
        <w:rPr>
          <w:rFonts w:ascii="Arial" w:cs="Arial" w:eastAsia="Arial" w:hAnsi="Arial"/>
          <w:color w:val="1F2328"/>
          <w:sz w:val="20"/>
          <w:szCs w:val="20"/>
        </w:rPr>
        <w:t xml:space="preserve">This policy applies to all [In-scope systems] and production infrastructure.</w:t>
      </w:r>
    </w:p>
    <w:p>
      <w:pPr>
        <w:pStyle w:val="Heading2"/>
        <w:keepNext/>
        <w:spacing w:after="120" w:before="280"/>
      </w:pPr>
      <w:r>
        <w:rPr>
          <w:rFonts w:ascii="Arial" w:cs="Arial" w:eastAsia="Arial" w:hAnsi="Arial"/>
          <w:b/>
          <w:bCs/>
          <w:color w:val="1F2328"/>
          <w:sz w:val="26"/>
          <w:szCs w:val="26"/>
        </w:rPr>
        <w:t xml:space="preserve">2. Logging</w:t>
      </w:r>
    </w:p>
    <w:p>
      <w:pPr>
        <w:pStyle w:val="ListParagraph"/>
        <w:numPr>
          <w:ilvl w:val="0"/>
          <w:numId w:val="2"/>
        </w:numPr>
        <w:spacing w:after="60" w:line="276"/>
      </w:pPr>
      <w:r>
        <w:rPr>
          <w:rFonts w:ascii="Arial" w:cs="Arial" w:eastAsia="Arial" w:hAnsi="Arial"/>
          <w:color w:val="1F2328"/>
          <w:sz w:val="20"/>
          <w:szCs w:val="20"/>
        </w:rPr>
        <w:t xml:space="preserve">Centralized logging: All system, application, and audit logs are collected in [Logging system].</w:t>
      </w:r>
    </w:p>
    <w:p>
      <w:pPr>
        <w:pStyle w:val="ListParagraph"/>
        <w:numPr>
          <w:ilvl w:val="0"/>
          <w:numId w:val="2"/>
        </w:numPr>
        <w:spacing w:after="60" w:line="276"/>
      </w:pPr>
      <w:r>
        <w:rPr>
          <w:rFonts w:ascii="Arial" w:cs="Arial" w:eastAsia="Arial" w:hAnsi="Arial"/>
          <w:color w:val="1F2328"/>
          <w:sz w:val="20"/>
          <w:szCs w:val="20"/>
        </w:rPr>
        <w:t xml:space="preserve">Log content: Logs include timestamp, user, action, and source/destination.</w:t>
      </w:r>
    </w:p>
    <w:p>
      <w:pPr>
        <w:pStyle w:val="ListParagraph"/>
        <w:numPr>
          <w:ilvl w:val="0"/>
          <w:numId w:val="2"/>
        </w:numPr>
        <w:spacing w:after="60" w:line="276"/>
      </w:pPr>
      <w:r>
        <w:rPr>
          <w:rFonts w:ascii="Arial" w:cs="Arial" w:eastAsia="Arial" w:hAnsi="Arial"/>
          <w:color w:val="1F2328"/>
          <w:sz w:val="20"/>
          <w:szCs w:val="20"/>
        </w:rPr>
        <w:t xml:space="preserve">Log retention: Logs are retained for at least [Log retention period].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Events that are always logged</w:t>
      </w:r>
    </w:p>
    <w:p>
      <w:pPr>
        <w:pStyle w:val="ListParagraph"/>
        <w:numPr>
          <w:ilvl w:val="0"/>
          <w:numId w:val="2"/>
        </w:numPr>
        <w:spacing w:after="60" w:line="276"/>
      </w:pPr>
      <w:r>
        <w:rPr>
          <w:rFonts w:ascii="Arial" w:cs="Arial" w:eastAsia="Arial" w:hAnsi="Arial"/>
          <w:color w:val="1F2328"/>
          <w:sz w:val="20"/>
          <w:szCs w:val="20"/>
        </w:rPr>
        <w:t xml:space="preserve">Sign-ins to the identity provider, the cloud console and production systems, successful and failed.</w:t>
      </w:r>
    </w:p>
    <w:p>
      <w:pPr>
        <w:pStyle w:val="ListParagraph"/>
        <w:numPr>
          <w:ilvl w:val="0"/>
          <w:numId w:val="2"/>
        </w:numPr>
        <w:spacing w:after="60" w:line="276"/>
      </w:pPr>
      <w:r>
        <w:rPr>
          <w:rFonts w:ascii="Arial" w:cs="Arial" w:eastAsia="Arial" w:hAnsi="Arial"/>
          <w:color w:val="1F2328"/>
          <w:sz w:val="20"/>
          <w:szCs w:val="20"/>
        </w:rPr>
        <w:t xml:space="preserve">Changes to accounts, roles and permissions.</w:t>
      </w:r>
    </w:p>
    <w:p>
      <w:pPr>
        <w:pStyle w:val="ListParagraph"/>
        <w:numPr>
          <w:ilvl w:val="0"/>
          <w:numId w:val="2"/>
        </w:numPr>
        <w:spacing w:after="60" w:line="276"/>
      </w:pPr>
      <w:r>
        <w:rPr>
          <w:rFonts w:ascii="Arial" w:cs="Arial" w:eastAsia="Arial" w:hAnsi="Arial"/>
          <w:color w:val="1F2328"/>
          <w:sz w:val="20"/>
          <w:szCs w:val="20"/>
        </w:rPr>
        <w:t xml:space="preserve">Administrative actions in the cloud account and in the application admin tools.</w:t>
      </w:r>
    </w:p>
    <w:p>
      <w:pPr>
        <w:pStyle w:val="ListParagraph"/>
        <w:numPr>
          <w:ilvl w:val="0"/>
          <w:numId w:val="2"/>
        </w:numPr>
        <w:spacing w:after="60" w:line="276"/>
      </w:pPr>
      <w:r>
        <w:rPr>
          <w:rFonts w:ascii="Arial" w:cs="Arial" w:eastAsia="Arial" w:hAnsi="Arial"/>
          <w:color w:val="1F2328"/>
          <w:sz w:val="20"/>
          <w:szCs w:val="20"/>
        </w:rPr>
        <w:t xml:space="preserve">Production deployments and infrastructure changes.</w:t>
      </w:r>
    </w:p>
    <w:p>
      <w:pPr>
        <w:pStyle w:val="ListParagraph"/>
        <w:numPr>
          <w:ilvl w:val="0"/>
          <w:numId w:val="2"/>
        </w:numPr>
        <w:spacing w:after="60" w:line="276"/>
      </w:pPr>
      <w:r>
        <w:rPr>
          <w:rFonts w:ascii="Arial" w:cs="Arial" w:eastAsia="Arial" w:hAnsi="Arial"/>
          <w:color w:val="1F2328"/>
          <w:sz w:val="20"/>
          <w:szCs w:val="20"/>
        </w:rPr>
        <w:t xml:space="preserve">Staff access to customer data.</w:t>
      </w:r>
    </w:p>
    <w:p>
      <w:pPr>
        <w:pStyle w:val="ListParagraph"/>
        <w:numPr>
          <w:ilvl w:val="0"/>
          <w:numId w:val="2"/>
        </w:numPr>
        <w:spacing w:after="60" w:line="276"/>
      </w:pPr>
      <w:r>
        <w:rPr>
          <w:rFonts w:ascii="Arial" w:cs="Arial" w:eastAsia="Arial" w:hAnsi="Arial"/>
          <w:color w:val="1F2328"/>
          <w:sz w:val="20"/>
          <w:szCs w:val="20"/>
        </w:rPr>
        <w:t xml:space="preserve">Errors and security events from the application and its hosts.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Protecting logs</w:t>
      </w:r>
    </w:p>
    <w:p>
      <w:pPr>
        <w:spacing w:after="120" w:before="0" w:line="276"/>
      </w:pPr>
      <w:r>
        <w:rPr>
          <w:rFonts w:ascii="Arial" w:cs="Arial" w:eastAsia="Arial" w:hAnsi="Arial"/>
          <w:color w:val="1F2328"/>
          <w:sz w:val="20"/>
          <w:szCs w:val="20"/>
        </w:rPr>
        <w:t xml:space="preserve">Logs are stored where the people whose actions they record cannot change or delete them. Access to logs is limited to named roles, and system clocks are synchronized so events can be put in order.</w:t>
      </w:r>
    </w:p>
    <w:p>
      <w:pPr>
        <w:pStyle w:val="Heading2"/>
        <w:keepNext/>
        <w:spacing w:after="120" w:before="280"/>
      </w:pPr>
      <w:r>
        <w:rPr>
          <w:rFonts w:ascii="Arial" w:cs="Arial" w:eastAsia="Arial" w:hAnsi="Arial"/>
          <w:b/>
          <w:bCs/>
          <w:color w:val="1F2328"/>
          <w:sz w:val="26"/>
          <w:szCs w:val="26"/>
        </w:rPr>
        <w:t xml:space="preserve">5. Monitoring and alerting</w:t>
      </w:r>
    </w:p>
    <w:p>
      <w:pPr>
        <w:pStyle w:val="ListParagraph"/>
        <w:numPr>
          <w:ilvl w:val="0"/>
          <w:numId w:val="2"/>
        </w:numPr>
        <w:spacing w:after="60" w:line="276"/>
      </w:pPr>
      <w:r>
        <w:rPr>
          <w:rFonts w:ascii="Arial" w:cs="Arial" w:eastAsia="Arial" w:hAnsi="Arial"/>
          <w:color w:val="1F2328"/>
          <w:sz w:val="20"/>
          <w:szCs w:val="20"/>
        </w:rPr>
        <w:t xml:space="preserve">Availability monitoring: System availability and performance are monitored to meet [Uptime commitment].</w:t>
      </w:r>
    </w:p>
    <w:p>
      <w:pPr>
        <w:pStyle w:val="ListParagraph"/>
        <w:numPr>
          <w:ilvl w:val="0"/>
          <w:numId w:val="2"/>
        </w:numPr>
        <w:spacing w:after="60" w:line="276"/>
      </w:pPr>
      <w:r>
        <w:rPr>
          <w:rFonts w:ascii="Arial" w:cs="Arial" w:eastAsia="Arial" w:hAnsi="Arial"/>
          <w:color w:val="1F2328"/>
          <w:sz w:val="20"/>
          <w:szCs w:val="20"/>
        </w:rPr>
        <w:t xml:space="preserve">Security alerting: Alerts are configured for security events (for example failed logins, malware detection) and routed to the appropriate on-call personnel.</w:t>
      </w:r>
    </w:p>
    <w:p>
      <w:pPr>
        <w:pStyle w:val="ListParagraph"/>
        <w:numPr>
          <w:ilvl w:val="0"/>
          <w:numId w:val="2"/>
        </w:numPr>
        <w:spacing w:after="60" w:line="276"/>
      </w:pPr>
      <w:r>
        <w:rPr>
          <w:rFonts w:ascii="Arial" w:cs="Arial" w:eastAsia="Arial" w:hAnsi="Arial"/>
          <w:color w:val="1F2328"/>
          <w:sz w:val="20"/>
          <w:szCs w:val="20"/>
        </w:rPr>
        <w:t xml:space="preserve">Review: The [Security owner role] reviews alert activity and alert rules at least monthly and records the review. Logs are available for investigation of any incident.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Alerts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6"/>
        <w:gridCol w:w="2434"/>
        <w:gridCol w:w="2621"/>
      </w:tblGrid>
      <w:tr>
        <w:trPr>
          <w:cantSplit/>
          <w:tblHeader/>
        </w:trPr>
        <w:tc>
          <w:tcPr>
            <w:tcW w:type="dxa" w:w="430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Event</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Who is alerted</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Expected response</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Repeated failed sign-ins to an administrator account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 of the cloud root or owner account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Multi-factor authentication disabled for any user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new administrator or a change to administrator roles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Same day</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 made public or a security group opened to the internet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Malware detected on a Company device</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 hour</w:t>
            </w:r>
          </w:p>
        </w:tc>
      </w:tr>
      <w:tr>
        <w:trPr>
          <w:cantSplit/>
        </w:trPr>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Availability below [Uptime commitment]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Immediately</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On-call engineer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named rota</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Responds to alerts and opens an incident record where one is needed.</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settings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Configuration of log retention period.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Alert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key security alert rules.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Uptime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Monthly availability metrics.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Monthly review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reviewer and any action taken on alerts.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logs are collected and searched.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logs are kept, for example one year.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[Uptime commitment]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availability you promise customers, if any, for example 99.9 percent.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[Monitoring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raises alerts.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cybersoftware.com/templates/logging-and-monitoring-policy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Logging and Monitoring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Logging and Monitoring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