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Vendor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CC9.2 by establishing vendor risk management requirements.</w:t>
      </w:r>
    </w:p>
    <w:p>
      <w:pPr>
        <w:spacing w:after="120" w:before="0" w:line="276"/>
      </w:pPr>
      <w:r>
        <w:rPr>
          <w:rFonts w:ascii="Arial" w:cs="Arial" w:eastAsia="Arial" w:hAnsi="Arial"/>
          <w:color w:val="1F2328"/>
          <w:sz w:val="20"/>
          <w:szCs w:val="20"/>
        </w:rPr>
        <w:t xml:space="preserve">This policy applies to all third-party vendors and subservice organizations.</w:t>
      </w:r>
    </w:p>
    <w:p>
      <w:pPr>
        <w:pStyle w:val="Heading2"/>
        <w:keepNext/>
        <w:spacing w:after="120" w:before="280"/>
      </w:pPr>
      <w:r>
        <w:rPr>
          <w:rFonts w:ascii="Arial" w:cs="Arial" w:eastAsia="Arial" w:hAnsi="Arial"/>
          <w:b/>
          <w:bCs/>
          <w:color w:val="1F2328"/>
          <w:sz w:val="26"/>
          <w:szCs w:val="26"/>
        </w:rPr>
        <w:t xml:space="preserve">2. Vendor tiers</w:t>
      </w:r>
    </w:p>
    <w:p>
      <w:pPr>
        <w:spacing w:after="120" w:before="0" w:line="276"/>
      </w:pPr>
      <w:r>
        <w:rPr>
          <w:rFonts w:ascii="Arial" w:cs="Arial" w:eastAsia="Arial" w:hAnsi="Arial"/>
          <w:color w:val="1F2328"/>
          <w:sz w:val="20"/>
          <w:szCs w:val="20"/>
        </w:rPr>
        <w:t xml:space="preserve">Vendors are tiered by what they can reach, not by what they cost. The tier sets how much assurance is collected and how often the vendor is reviewed.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3182"/>
        <w:gridCol w:w="2995"/>
        <w:gridCol w:w="1685"/>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Tier</w:t>
            </w:r>
          </w:p>
        </w:tc>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the vendor can reach</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Assurance collected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Review</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critical</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production systems, the identity provider or source code</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current SOC 2 report or equivalent, plus the security questionnaire where the report leaves gaps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12 months</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 limited</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company data only, with no production access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shorter security questionnaire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24 months</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 peripheral</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company data and no access to Company systems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register entry only</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its reach changes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Vendor risk assessment</w:t>
      </w:r>
    </w:p>
    <w:p>
      <w:pPr>
        <w:pStyle w:val="ListParagraph"/>
        <w:numPr>
          <w:ilvl w:val="0"/>
          <w:numId w:val="2"/>
        </w:numPr>
        <w:spacing w:after="60" w:line="276"/>
      </w:pPr>
      <w:r>
        <w:rPr>
          <w:rFonts w:ascii="Arial" w:cs="Arial" w:eastAsia="Arial" w:hAnsi="Arial"/>
          <w:color w:val="1F2328"/>
          <w:sz w:val="20"/>
          <w:szCs w:val="20"/>
        </w:rPr>
        <w:t xml:space="preserve">Vendors are assessed for risk before onboarding and again on the review schedule for their tier.</w:t>
      </w:r>
    </w:p>
    <w:p>
      <w:pPr>
        <w:pStyle w:val="ListParagraph"/>
        <w:numPr>
          <w:ilvl w:val="0"/>
          <w:numId w:val="2"/>
        </w:numPr>
        <w:spacing w:after="60" w:line="276"/>
      </w:pPr>
      <w:r>
        <w:rPr>
          <w:rFonts w:ascii="Arial" w:cs="Arial" w:eastAsia="Arial" w:hAnsi="Arial"/>
          <w:color w:val="1F2328"/>
          <w:sz w:val="20"/>
          <w:szCs w:val="20"/>
        </w:rPr>
        <w:t xml:space="preserve">Critical vendors provide a current SOC 2 report or equivalent assurance, reviewed every 12 months.</w:t>
      </w:r>
    </w:p>
    <w:p>
      <w:pPr>
        <w:pStyle w:val="ListParagraph"/>
        <w:numPr>
          <w:ilvl w:val="0"/>
          <w:numId w:val="2"/>
        </w:numPr>
        <w:spacing w:after="60" w:line="276"/>
      </w:pPr>
      <w:r>
        <w:rPr>
          <w:rFonts w:ascii="Arial" w:cs="Arial" w:eastAsia="Arial" w:hAnsi="Arial"/>
          <w:color w:val="1F2328"/>
          <w:sz w:val="20"/>
          <w:szCs w:val="20"/>
        </w:rPr>
        <w:t xml:space="preserve">Where a critical vendor has no SOC 2 report or equivalent, it completes the security questionnaire in writing, and the decision to proceed is recorded as a policy exception with its reason, its approver and a date to look again.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Contracts</w:t>
      </w:r>
    </w:p>
    <w:p>
      <w:pPr>
        <w:spacing w:after="120" w:before="0" w:line="276"/>
      </w:pPr>
      <w:r>
        <w:rPr>
          <w:rFonts w:ascii="Arial" w:cs="Arial" w:eastAsia="Arial" w:hAnsi="Arial"/>
          <w:color w:val="1F2328"/>
          <w:sz w:val="20"/>
          <w:szCs w:val="20"/>
        </w:rPr>
        <w:t xml:space="preserve">Contracts with Tier 1 vendors include:</w:t>
      </w:r>
    </w:p>
    <w:p>
      <w:pPr>
        <w:pStyle w:val="ListParagraph"/>
        <w:numPr>
          <w:ilvl w:val="0"/>
          <w:numId w:val="2"/>
        </w:numPr>
        <w:spacing w:after="60" w:line="276"/>
      </w:pPr>
      <w:r>
        <w:rPr>
          <w:rFonts w:ascii="Arial" w:cs="Arial" w:eastAsia="Arial" w:hAnsi="Arial"/>
          <w:color w:val="1F2328"/>
          <w:sz w:val="20"/>
          <w:szCs w:val="20"/>
        </w:rPr>
        <w:t xml:space="preserve">A security incident notice period, stated in hours.</w:t>
      </w:r>
    </w:p>
    <w:p>
      <w:pPr>
        <w:pStyle w:val="ListParagraph"/>
        <w:numPr>
          <w:ilvl w:val="0"/>
          <w:numId w:val="2"/>
        </w:numPr>
        <w:spacing w:after="60" w:line="276"/>
      </w:pPr>
      <w:r>
        <w:rPr>
          <w:rFonts w:ascii="Arial" w:cs="Arial" w:eastAsia="Arial" w:hAnsi="Arial"/>
          <w:color w:val="1F2328"/>
          <w:sz w:val="20"/>
          <w:szCs w:val="20"/>
        </w:rPr>
        <w:t xml:space="preserve">Confidentiality of Company and customer data.</w:t>
      </w:r>
    </w:p>
    <w:p>
      <w:pPr>
        <w:pStyle w:val="ListParagraph"/>
        <w:numPr>
          <w:ilvl w:val="0"/>
          <w:numId w:val="2"/>
        </w:numPr>
        <w:spacing w:after="60" w:line="276"/>
      </w:pPr>
      <w:r>
        <w:rPr>
          <w:rFonts w:ascii="Arial" w:cs="Arial" w:eastAsia="Arial" w:hAnsi="Arial"/>
          <w:color w:val="1F2328"/>
          <w:sz w:val="20"/>
          <w:szCs w:val="20"/>
        </w:rPr>
        <w:t xml:space="preserve">Deletion or return of data when the contract ends.</w:t>
      </w:r>
    </w:p>
    <w:p>
      <w:pPr>
        <w:pStyle w:val="ListParagraph"/>
        <w:numPr>
          <w:ilvl w:val="0"/>
          <w:numId w:val="2"/>
        </w:numPr>
        <w:spacing w:after="60" w:line="276"/>
      </w:pPr>
      <w:r>
        <w:rPr>
          <w:rFonts w:ascii="Arial" w:cs="Arial" w:eastAsia="Arial" w:hAnsi="Arial"/>
          <w:color w:val="1F2328"/>
          <w:sz w:val="20"/>
          <w:szCs w:val="20"/>
        </w:rPr>
        <w:t xml:space="preserve">Notice before a new subprocessor handles Company data.</w:t>
      </w:r>
    </w:p>
    <w:p>
      <w:pPr>
        <w:pStyle w:val="ListParagraph"/>
        <w:numPr>
          <w:ilvl w:val="0"/>
          <w:numId w:val="2"/>
        </w:numPr>
        <w:spacing w:after="60" w:line="276"/>
      </w:pPr>
      <w:r>
        <w:rPr>
          <w:rFonts w:ascii="Arial" w:cs="Arial" w:eastAsia="Arial" w:hAnsi="Arial"/>
          <w:color w:val="1F2328"/>
          <w:sz w:val="20"/>
          <w:szCs w:val="20"/>
        </w:rPr>
        <w:t xml:space="preserve">The right to ask for updated assurance each year.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Vendor register</w:t>
      </w:r>
    </w:p>
    <w:p>
      <w:pPr>
        <w:spacing w:after="120" w:before="0" w:line="276"/>
      </w:pPr>
      <w:r>
        <w:rPr>
          <w:rFonts w:ascii="Arial" w:cs="Arial" w:eastAsia="Arial" w:hAnsi="Arial"/>
          <w:color w:val="1F2328"/>
          <w:sz w:val="20"/>
          <w:szCs w:val="20"/>
        </w:rPr>
        <w:t xml:space="preserve">Every vendor is recorded in [Vendor register location] before it is used. Each entry names the service, the data it can reach, its tier, an internal owner, the assurance collected and the date of the last review.</w:t>
      </w:r>
    </w:p>
    <w:p>
      <w:pPr>
        <w:pStyle w:val="Heading2"/>
        <w:keepNext/>
        <w:spacing w:after="120" w:before="280"/>
      </w:pPr>
      <w:r>
        <w:rPr>
          <w:rFonts w:ascii="Arial" w:cs="Arial" w:eastAsia="Arial" w:hAnsi="Arial"/>
          <w:b/>
          <w:bCs/>
          <w:color w:val="1F2328"/>
          <w:sz w:val="26"/>
          <w:szCs w:val="26"/>
        </w:rPr>
        <w:t xml:space="preserve">6. Reviewing a vendor report</w:t>
      </w:r>
    </w:p>
    <w:p>
      <w:pPr>
        <w:pStyle w:val="ListParagraph"/>
        <w:numPr>
          <w:ilvl w:val="0"/>
          <w:numId w:val="3"/>
        </w:numPr>
        <w:spacing w:after="60" w:line="276"/>
      </w:pPr>
      <w:r>
        <w:rPr>
          <w:rFonts w:ascii="Arial" w:cs="Arial" w:eastAsia="Arial" w:hAnsi="Arial"/>
          <w:color w:val="1F2328"/>
          <w:sz w:val="20"/>
          <w:szCs w:val="20"/>
        </w:rPr>
        <w:t xml:space="preserve">Confirm the report is current, covers the service you use and was issued by a licensed CPA firm.</w:t>
      </w:r>
    </w:p>
    <w:p>
      <w:pPr>
        <w:pStyle w:val="ListParagraph"/>
        <w:numPr>
          <w:ilvl w:val="0"/>
          <w:numId w:val="3"/>
        </w:numPr>
        <w:spacing w:after="60" w:line="276"/>
      </w:pPr>
      <w:r>
        <w:rPr>
          <w:rFonts w:ascii="Arial" w:cs="Arial" w:eastAsia="Arial" w:hAnsi="Arial"/>
          <w:color w:val="1F2328"/>
          <w:sz w:val="20"/>
          <w:szCs w:val="20"/>
        </w:rPr>
        <w:t xml:space="preserve">Read the opinion and any exceptions, and decide whether they affect you.</w:t>
      </w:r>
    </w:p>
    <w:p>
      <w:pPr>
        <w:pStyle w:val="ListParagraph"/>
        <w:numPr>
          <w:ilvl w:val="0"/>
          <w:numId w:val="3"/>
        </w:numPr>
        <w:spacing w:after="60" w:line="276"/>
      </w:pPr>
      <w:r>
        <w:rPr>
          <w:rFonts w:ascii="Arial" w:cs="Arial" w:eastAsia="Arial" w:hAnsi="Arial"/>
          <w:color w:val="1F2328"/>
          <w:sz w:val="20"/>
          <w:szCs w:val="20"/>
        </w:rPr>
        <w:t xml:space="preserve">Read the complementary user entity controls and assign each one to an owner at the Company.</w:t>
      </w:r>
    </w:p>
    <w:p>
      <w:pPr>
        <w:pStyle w:val="ListParagraph"/>
        <w:numPr>
          <w:ilvl w:val="0"/>
          <w:numId w:val="3"/>
        </w:numPr>
        <w:spacing w:after="60" w:line="276"/>
      </w:pPr>
      <w:r>
        <w:rPr>
          <w:rFonts w:ascii="Arial" w:cs="Arial" w:eastAsia="Arial" w:hAnsi="Arial"/>
          <w:color w:val="1F2328"/>
          <w:sz w:val="20"/>
          <w:szCs w:val="20"/>
        </w:rPr>
        <w:t xml:space="preserve">Record the review with the reviewer, the date and the conclusion.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Ending a vendor relationship</w:t>
      </w:r>
    </w:p>
    <w:p>
      <w:pPr>
        <w:spacing w:after="120" w:before="0" w:line="276"/>
      </w:pPr>
      <w:r>
        <w:rPr>
          <w:rFonts w:ascii="Arial" w:cs="Arial" w:eastAsia="Arial" w:hAnsi="Arial"/>
          <w:color w:val="1F2328"/>
          <w:sz w:val="20"/>
          <w:szCs w:val="20"/>
        </w:rPr>
        <w:t xml:space="preserve">When a vendor is retired, its access is removed, the return or deletion of Company data is confirmed in writing, and the register entry is closed with the date.</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employee who requests the vendor</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Supplies the information for the assessment and the register, and tells the policy owner when the vendor reach changes.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register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List of vendors and their risk ratings.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SOC 2 reports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Audit reports for critical vendors.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review notes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reviewed each report or questionnaire, when, and what they concluded.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register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vendor register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cybersoftware.com/templates/vendor-management-policy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Vendor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